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A684" w14:textId="77777777" w:rsidR="006E122B" w:rsidRDefault="004504D4">
      <w:pPr>
        <w:pStyle w:val="Heading1"/>
      </w:pPr>
      <w:r>
        <w:rPr>
          <w:sz w:val="40"/>
          <w:szCs w:val="40"/>
        </w:rPr>
        <w:t>Elevator Pitch Cheat Sheet</w:t>
      </w:r>
    </w:p>
    <w:p w14:paraId="48D5A685" w14:textId="77777777" w:rsidR="006E122B" w:rsidRDefault="004504D4" w:rsidP="004504D4">
      <w:r>
        <w:rPr>
          <w:color w:val="666666"/>
        </w:rPr>
        <w:t>The right words for the right audience — ready before you walk into any meeting, conference, or hallway conversation.</w:t>
      </w:r>
    </w:p>
    <w:p w14:paraId="48D5A686" w14:textId="77777777" w:rsidR="006E122B" w:rsidRDefault="006E122B" w:rsidP="004504D4">
      <w:pPr>
        <w:pBdr>
          <w:bottom w:val="single" w:sz="6" w:space="1" w:color="0097A7"/>
        </w:pBdr>
        <w:spacing w:after="160"/>
      </w:pPr>
    </w:p>
    <w:p w14:paraId="48D5A687" w14:textId="77777777" w:rsidR="006E122B" w:rsidRPr="006F794A" w:rsidRDefault="004504D4">
      <w:pPr>
        <w:pStyle w:val="Heading2"/>
        <w:rPr>
          <w:color w:val="36B0E4"/>
        </w:rPr>
      </w:pPr>
      <w:r w:rsidRPr="006F794A">
        <w:rPr>
          <w:color w:val="36B0E4"/>
        </w:rPr>
        <w:t>About This Document</w:t>
      </w:r>
    </w:p>
    <w:p w14:paraId="48D5A688" w14:textId="77777777" w:rsidR="006E122B" w:rsidRDefault="004504D4">
      <w:pPr>
        <w:spacing w:after="120"/>
      </w:pPr>
      <w:r>
        <w:rPr>
          <w:color w:val="1A2E44"/>
          <w:sz w:val="21"/>
          <w:szCs w:val="21"/>
        </w:rPr>
        <w:t>This cheat sheet is part of the FOYOST Communications Toolkit. It gives you four audience-specific elevator pitches — each built around a Hook, a Solution, and an Ask — so you can speak confidently about FOYOST no matter who you’re talking to.</w:t>
      </w:r>
    </w:p>
    <w:p w14:paraId="48D5A689" w14:textId="77777777" w:rsidR="006E122B" w:rsidRDefault="004504D4">
      <w:pPr>
        <w:spacing w:after="200"/>
      </w:pPr>
      <w:r>
        <w:rPr>
          <w:color w:val="1A2E44"/>
          <w:sz w:val="21"/>
          <w:szCs w:val="21"/>
        </w:rPr>
        <w:t>These are not scripts to read verbatim. They are frameworks to internalize. The language is designed to resonate with each audience’s specific pain points — use the phrasing that feels natural to you.</w:t>
      </w:r>
    </w:p>
    <w:p w14:paraId="48D5A68A" w14:textId="77777777" w:rsidR="006E122B" w:rsidRPr="006F794A" w:rsidRDefault="004504D4">
      <w:pPr>
        <w:pStyle w:val="Heading2"/>
        <w:rPr>
          <w:color w:val="36B0E4"/>
        </w:rPr>
      </w:pPr>
      <w:r w:rsidRPr="006F794A">
        <w:rPr>
          <w:color w:val="36B0E4"/>
        </w:rPr>
        <w:t>How to Use This Document</w:t>
      </w:r>
    </w:p>
    <w:p w14:paraId="48D5A68B" w14:textId="77777777" w:rsidR="006E122B" w:rsidRDefault="004504D4" w:rsidP="00BF1DBD">
      <w:pPr>
        <w:pStyle w:val="ListParagraph"/>
        <w:numPr>
          <w:ilvl w:val="0"/>
          <w:numId w:val="5"/>
        </w:numPr>
        <w:spacing w:before="40" w:after="40"/>
      </w:pPr>
      <w:r>
        <w:rPr>
          <w:color w:val="1A2E44"/>
          <w:sz w:val="21"/>
          <w:szCs w:val="21"/>
        </w:rPr>
        <w:t>Pre-read before attending conferences, leadership meetings, or any event where FOYOST might come up.</w:t>
      </w:r>
    </w:p>
    <w:p w14:paraId="48D5A68C" w14:textId="77777777" w:rsidR="006E122B" w:rsidRDefault="004504D4" w:rsidP="00BF1DBD">
      <w:pPr>
        <w:pStyle w:val="ListParagraph"/>
        <w:numPr>
          <w:ilvl w:val="0"/>
          <w:numId w:val="5"/>
        </w:numPr>
        <w:spacing w:before="40" w:after="40"/>
      </w:pPr>
      <w:r>
        <w:rPr>
          <w:color w:val="1A2E44"/>
          <w:sz w:val="21"/>
          <w:szCs w:val="21"/>
        </w:rPr>
        <w:t>Find your pitch by audience — each of the four pitches is matched to a specific sender/recipient pairing.</w:t>
      </w:r>
    </w:p>
    <w:p w14:paraId="48D5A68D" w14:textId="77777777" w:rsidR="006E122B" w:rsidRDefault="004504D4" w:rsidP="00BF1DBD">
      <w:pPr>
        <w:pStyle w:val="ListParagraph"/>
        <w:numPr>
          <w:ilvl w:val="0"/>
          <w:numId w:val="5"/>
        </w:numPr>
        <w:spacing w:before="40" w:after="40"/>
      </w:pPr>
      <w:r>
        <w:rPr>
          <w:color w:val="1A2E44"/>
          <w:sz w:val="21"/>
          <w:szCs w:val="21"/>
        </w:rPr>
        <w:t>Follow the Hook → Solution → Ask structure. The Hook opens with a pain point the audience already feels. The Solution introduces FOYOST as the answer. The Ask closes with a clear, low-stakes next step.</w:t>
      </w:r>
    </w:p>
    <w:p w14:paraId="48D5A68E" w14:textId="77777777" w:rsidR="006E122B" w:rsidRDefault="004504D4" w:rsidP="00BF1DBD">
      <w:pPr>
        <w:pStyle w:val="ListParagraph"/>
        <w:numPr>
          <w:ilvl w:val="0"/>
          <w:numId w:val="5"/>
        </w:numPr>
        <w:spacing w:before="40" w:after="40"/>
      </w:pPr>
      <w:r>
        <w:rPr>
          <w:color w:val="1A2E44"/>
          <w:sz w:val="21"/>
          <w:szCs w:val="21"/>
        </w:rPr>
        <w:t>Pair with the matching Warm Intro email template for follow-up after the conversation.</w:t>
      </w:r>
    </w:p>
    <w:p w14:paraId="48D5A68F" w14:textId="77777777" w:rsidR="006E122B" w:rsidRDefault="006E122B">
      <w:pPr>
        <w:spacing w:after="200"/>
      </w:pPr>
    </w:p>
    <w:p w14:paraId="48D5A690" w14:textId="77777777" w:rsidR="006E122B" w:rsidRPr="006F794A" w:rsidRDefault="004504D4">
      <w:pPr>
        <w:pStyle w:val="Heading2"/>
        <w:rPr>
          <w:color w:val="36B0E4"/>
        </w:rPr>
      </w:pPr>
      <w:r w:rsidRPr="006F794A">
        <w:rPr>
          <w:color w:val="36B0E4"/>
        </w:rPr>
        <w:t>Pitch Overview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2000"/>
        <w:gridCol w:w="2600"/>
        <w:gridCol w:w="4200"/>
      </w:tblGrid>
      <w:tr w:rsidR="006E122B" w14:paraId="48D5A69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1" w14:textId="77777777" w:rsidR="006E122B" w:rsidRDefault="004504D4">
            <w:r>
              <w:rPr>
                <w:b/>
                <w:bCs/>
                <w:color w:val="FFFFFF"/>
                <w:sz w:val="19"/>
                <w:szCs w:val="19"/>
              </w:rPr>
              <w:t>#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2" w14:textId="77777777" w:rsidR="006E122B" w:rsidRDefault="004504D4">
            <w:r>
              <w:rPr>
                <w:b/>
                <w:bCs/>
                <w:color w:val="FFFFFF"/>
                <w:sz w:val="19"/>
                <w:szCs w:val="19"/>
              </w:rPr>
              <w:t>From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3" w14:textId="77777777" w:rsidR="006E122B" w:rsidRDefault="004504D4">
            <w:r>
              <w:rPr>
                <w:b/>
                <w:bCs/>
                <w:color w:val="FFFFFF"/>
                <w:sz w:val="19"/>
                <w:szCs w:val="19"/>
              </w:rPr>
              <w:t>To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1A2E4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4" w14:textId="77777777" w:rsidR="006E122B" w:rsidRDefault="004504D4">
            <w:r>
              <w:rPr>
                <w:b/>
                <w:bCs/>
                <w:color w:val="FFFFFF"/>
                <w:sz w:val="19"/>
                <w:szCs w:val="19"/>
              </w:rPr>
              <w:t>Goal</w:t>
            </w:r>
          </w:p>
        </w:tc>
      </w:tr>
      <w:tr w:rsidR="006E122B" w14:paraId="48D5A69A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6" w14:textId="77777777" w:rsidR="006E122B" w:rsidRDefault="004504D4">
            <w:r>
              <w:rPr>
                <w:color w:val="1A2E44"/>
                <w:sz w:val="19"/>
                <w:szCs w:val="19"/>
              </w:rPr>
              <w:t>1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7" w14:textId="77777777" w:rsidR="006E122B" w:rsidRDefault="004504D4">
            <w:r>
              <w:rPr>
                <w:color w:val="1A2E44"/>
                <w:sz w:val="19"/>
                <w:szCs w:val="19"/>
              </w:rPr>
              <w:t>You / WSIPC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8" w14:textId="77777777" w:rsidR="006E122B" w:rsidRDefault="004504D4">
            <w:r>
              <w:rPr>
                <w:color w:val="1A2E44"/>
                <w:sz w:val="19"/>
                <w:szCs w:val="19"/>
              </w:rPr>
              <w:t>ESD Partners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9" w14:textId="77777777" w:rsidR="006E122B" w:rsidRDefault="004504D4">
            <w:r>
              <w:rPr>
                <w:color w:val="1A2E44"/>
                <w:sz w:val="19"/>
                <w:szCs w:val="19"/>
              </w:rPr>
              <w:t>Recruit ESDs as active rollout partners.</w:t>
            </w:r>
          </w:p>
        </w:tc>
      </w:tr>
      <w:tr w:rsidR="006E122B" w14:paraId="48D5A69F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B" w14:textId="77777777" w:rsidR="006E122B" w:rsidRDefault="004504D4">
            <w:r>
              <w:rPr>
                <w:color w:val="1A2E44"/>
                <w:sz w:val="19"/>
                <w:szCs w:val="19"/>
              </w:rPr>
              <w:t>2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C" w14:textId="77777777" w:rsidR="006E122B" w:rsidRDefault="004504D4">
            <w:r>
              <w:rPr>
                <w:color w:val="1A2E44"/>
                <w:sz w:val="19"/>
                <w:szCs w:val="19"/>
              </w:rPr>
              <w:t>ESD Reps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D" w14:textId="77777777" w:rsidR="006E122B" w:rsidRDefault="004504D4">
            <w:r>
              <w:rPr>
                <w:color w:val="1A2E44"/>
                <w:sz w:val="19"/>
                <w:szCs w:val="19"/>
              </w:rPr>
              <w:t>District Superintendents / Directors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9E" w14:textId="77777777" w:rsidR="006E122B" w:rsidRDefault="004504D4">
            <w:r>
              <w:rPr>
                <w:color w:val="1A2E44"/>
                <w:sz w:val="19"/>
                <w:szCs w:val="19"/>
              </w:rPr>
              <w:t>Get agreement to a demo.</w:t>
            </w:r>
          </w:p>
        </w:tc>
      </w:tr>
      <w:tr w:rsidR="006E122B" w14:paraId="48D5A6A4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0" w14:textId="77777777" w:rsidR="006E122B" w:rsidRDefault="004504D4">
            <w:r>
              <w:rPr>
                <w:color w:val="1A2E44"/>
                <w:sz w:val="19"/>
                <w:szCs w:val="19"/>
              </w:rPr>
              <w:t>3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1" w14:textId="77777777" w:rsidR="006E122B" w:rsidRDefault="004504D4">
            <w:r>
              <w:rPr>
                <w:color w:val="1A2E44"/>
                <w:sz w:val="19"/>
                <w:szCs w:val="19"/>
              </w:rPr>
              <w:t>District Admin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2" w14:textId="77777777" w:rsidR="006E122B" w:rsidRDefault="004504D4">
            <w:r>
              <w:rPr>
                <w:color w:val="1A2E44"/>
                <w:sz w:val="19"/>
                <w:szCs w:val="19"/>
              </w:rPr>
              <w:t>Head Counselors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3" w14:textId="77777777" w:rsidR="006E122B" w:rsidRDefault="004504D4">
            <w:r>
              <w:rPr>
                <w:color w:val="1A2E44"/>
                <w:sz w:val="19"/>
                <w:szCs w:val="19"/>
              </w:rPr>
              <w:t>Ease initiative fatigue; show time savings.</w:t>
            </w:r>
          </w:p>
        </w:tc>
      </w:tr>
      <w:tr w:rsidR="006E122B" w14:paraId="48D5A6A9" w14:textId="77777777">
        <w:tblPrEx>
          <w:tblCellMar>
            <w:top w:w="0" w:type="dxa"/>
            <w:bottom w:w="0" w:type="dxa"/>
          </w:tblCellMar>
        </w:tblPrEx>
        <w:tc>
          <w:tcPr>
            <w:tcW w:w="5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5" w14:textId="77777777" w:rsidR="006E122B" w:rsidRDefault="004504D4">
            <w:r>
              <w:rPr>
                <w:color w:val="1A2E44"/>
                <w:sz w:val="19"/>
                <w:szCs w:val="19"/>
              </w:rPr>
              <w:t>4</w:t>
            </w:r>
          </w:p>
        </w:tc>
        <w:tc>
          <w:tcPr>
            <w:tcW w:w="20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6" w14:textId="77777777" w:rsidR="006E122B" w:rsidRDefault="004504D4">
            <w:r>
              <w:rPr>
                <w:color w:val="1A2E44"/>
                <w:sz w:val="19"/>
                <w:szCs w:val="19"/>
              </w:rPr>
              <w:t>You / WSIPC</w:t>
            </w:r>
          </w:p>
        </w:tc>
        <w:tc>
          <w:tcPr>
            <w:tcW w:w="2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7" w14:textId="77777777" w:rsidR="006E122B" w:rsidRDefault="004504D4">
            <w:r>
              <w:rPr>
                <w:color w:val="1A2E44"/>
                <w:sz w:val="19"/>
                <w:szCs w:val="19"/>
              </w:rPr>
              <w:t>CBO Partners</w:t>
            </w:r>
          </w:p>
        </w:tc>
        <w:tc>
          <w:tcPr>
            <w:tcW w:w="42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A8" w14:textId="77777777" w:rsidR="006E122B" w:rsidRDefault="004504D4">
            <w:r>
              <w:rPr>
                <w:color w:val="1A2E44"/>
                <w:sz w:val="19"/>
                <w:szCs w:val="19"/>
              </w:rPr>
              <w:t>Show CBOs how FOYOST validates their impact.</w:t>
            </w:r>
          </w:p>
        </w:tc>
      </w:tr>
    </w:tbl>
    <w:p w14:paraId="48D5A6AA" w14:textId="1C544FB0" w:rsidR="009B6B94" w:rsidRDefault="009B6B94">
      <w:pPr>
        <w:spacing w:after="280"/>
      </w:pPr>
    </w:p>
    <w:p w14:paraId="319E2DEB" w14:textId="09B990D8" w:rsidR="006E122B" w:rsidRDefault="009B6B94" w:rsidP="009B6B94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B0E4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22B" w14:paraId="48D5A6AD" w14:textId="77777777" w:rsidTr="006F794A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48D5A6AB" w14:textId="59C896E0" w:rsidR="006E122B" w:rsidRDefault="004504D4">
            <w:pPr>
              <w:spacing w:after="60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Pitch 1</w:t>
            </w:r>
          </w:p>
          <w:p w14:paraId="48D5A6AC" w14:textId="2B9DCB2C" w:rsidR="006E122B" w:rsidRDefault="00FF1BD9">
            <w:r>
              <w:rPr>
                <w:color w:val="FFFF00"/>
                <w:sz w:val="24"/>
                <w:szCs w:val="24"/>
              </w:rPr>
              <w:t xml:space="preserve">FOYOST </w:t>
            </w:r>
            <w:proofErr w:type="gramStart"/>
            <w:r>
              <w:rPr>
                <w:color w:val="FFFF00"/>
                <w:sz w:val="24"/>
                <w:szCs w:val="24"/>
              </w:rPr>
              <w:t>Rep</w:t>
            </w:r>
            <w:r w:rsidR="004504D4" w:rsidRPr="006F794A">
              <w:rPr>
                <w:color w:val="FFFF00"/>
                <w:sz w:val="24"/>
                <w:szCs w:val="24"/>
              </w:rPr>
              <w:t xml:space="preserve">  →</w:t>
            </w:r>
            <w:proofErr w:type="gramEnd"/>
            <w:r w:rsidR="004504D4" w:rsidRPr="006F794A">
              <w:rPr>
                <w:color w:val="FFFF00"/>
                <w:sz w:val="24"/>
                <w:szCs w:val="24"/>
              </w:rPr>
              <w:t xml:space="preserve">  ESD Partners</w:t>
            </w:r>
          </w:p>
        </w:tc>
      </w:tr>
    </w:tbl>
    <w:p w14:paraId="48D5A6AE" w14:textId="77777777" w:rsidR="006E122B" w:rsidRDefault="006E122B" w:rsidP="00FF1BD9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E122B" w14:paraId="48D5A6B1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5A6AF" w14:textId="77777777" w:rsidR="006E122B" w:rsidRDefault="004504D4">
            <w:pPr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B0" w14:textId="77777777" w:rsidR="006E122B" w:rsidRDefault="004504D4">
            <w:r>
              <w:rPr>
                <w:color w:val="1A2E44"/>
                <w:sz w:val="20"/>
                <w:szCs w:val="20"/>
              </w:rPr>
              <w:t>Recruit ESDs as active partners in the rollout — equip them to bring FOYOST to their districts.</w:t>
            </w:r>
          </w:p>
        </w:tc>
      </w:tr>
    </w:tbl>
    <w:p w14:paraId="48D5A6B2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E122B" w14:paraId="48D5A6B5" w14:textId="77777777" w:rsidTr="003C4F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B3" w14:textId="77777777" w:rsidR="006E122B" w:rsidRPr="00FF1BD9" w:rsidRDefault="004504D4">
            <w:pPr>
              <w:jc w:val="center"/>
              <w:rPr>
                <w:color w:val="36B0E4"/>
              </w:rPr>
            </w:pPr>
            <w:r w:rsidRPr="00FF1BD9">
              <w:rPr>
                <w:b/>
                <w:bCs/>
                <w:color w:val="36B0E4"/>
                <w:sz w:val="18"/>
                <w:szCs w:val="18"/>
              </w:rPr>
              <w:t>THE HOOK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B4" w14:textId="77777777" w:rsidR="006E122B" w:rsidRDefault="004504D4">
            <w:r>
              <w:rPr>
                <w:b/>
                <w:bCs/>
                <w:color w:val="0097A7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 xml:space="preserve">We know your districts are drowning in data but starving for answers. They pay for National Student Clearinghouse files, but they rarely have the time or technical capacity to </w:t>
            </w:r>
            <w:proofErr w:type="gramStart"/>
            <w:r>
              <w:rPr>
                <w:color w:val="1A2E44"/>
                <w:sz w:val="21"/>
                <w:szCs w:val="21"/>
              </w:rPr>
              <w:t>actually clean</w:t>
            </w:r>
            <w:proofErr w:type="gramEnd"/>
            <w:r>
              <w:rPr>
                <w:color w:val="1A2E44"/>
                <w:sz w:val="21"/>
                <w:szCs w:val="21"/>
              </w:rPr>
              <w:t xml:space="preserve"> and use that data effectively.</w:t>
            </w:r>
            <w:r>
              <w:rPr>
                <w:b/>
                <w:bCs/>
                <w:color w:val="0097A7"/>
                <w:sz w:val="28"/>
                <w:szCs w:val="28"/>
              </w:rPr>
              <w:t>”</w:t>
            </w:r>
          </w:p>
        </w:tc>
      </w:tr>
      <w:tr w:rsidR="006E122B" w14:paraId="48D5A6B8" w14:textId="77777777" w:rsidTr="003C4F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B6" w14:textId="77777777" w:rsidR="006E122B" w:rsidRPr="00FF1BD9" w:rsidRDefault="004504D4">
            <w:pPr>
              <w:jc w:val="center"/>
              <w:rPr>
                <w:color w:val="36B0E4"/>
              </w:rPr>
            </w:pPr>
            <w:r w:rsidRPr="00FF1BD9">
              <w:rPr>
                <w:b/>
                <w:bCs/>
                <w:color w:val="36B0E4"/>
                <w:sz w:val="18"/>
                <w:szCs w:val="18"/>
              </w:rPr>
              <w:t>THE SOLUTION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B7" w14:textId="77777777" w:rsidR="006E122B" w:rsidRDefault="004504D4">
            <w:r>
              <w:rPr>
                <w:b/>
                <w:bCs/>
                <w:color w:val="0097A7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>We’ve built FOYOST — hosted by WSIPC — to solve this. It automatically ingests and cleans that messy data and turns it into five dashboards that answer the big questions: Is our equity work working? Are our CTE programs effective? Where did our graduates go?</w:t>
            </w:r>
            <w:r>
              <w:rPr>
                <w:b/>
                <w:bCs/>
                <w:color w:val="0097A7"/>
                <w:sz w:val="28"/>
                <w:szCs w:val="28"/>
              </w:rPr>
              <w:t>”</w:t>
            </w:r>
          </w:p>
        </w:tc>
      </w:tr>
      <w:tr w:rsidR="006E122B" w14:paraId="48D5A6BB" w14:textId="77777777" w:rsidTr="003C4F5E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B9" w14:textId="77777777" w:rsidR="006E122B" w:rsidRPr="00FF1BD9" w:rsidRDefault="004504D4">
            <w:pPr>
              <w:jc w:val="center"/>
              <w:rPr>
                <w:color w:val="36B0E4"/>
              </w:rPr>
            </w:pPr>
            <w:r w:rsidRPr="00FF1BD9">
              <w:rPr>
                <w:b/>
                <w:bCs/>
                <w:color w:val="36B0E4"/>
                <w:sz w:val="18"/>
                <w:szCs w:val="18"/>
              </w:rPr>
              <w:t>THE ASK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BA" w14:textId="77777777" w:rsidR="006E122B" w:rsidRDefault="004504D4">
            <w:r>
              <w:rPr>
                <w:b/>
                <w:bCs/>
                <w:color w:val="0097A7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>I’d like to equip your team with a simple toolkit so you can offer this to your districts. It’s a huge value-add service you can bring to them that requires almost zero lift from your team. Can we walk through the toolkit next week?</w:t>
            </w:r>
            <w:r>
              <w:rPr>
                <w:b/>
                <w:bCs/>
                <w:color w:val="0097A7"/>
                <w:sz w:val="28"/>
                <w:szCs w:val="28"/>
              </w:rPr>
              <w:t>”</w:t>
            </w:r>
          </w:p>
        </w:tc>
      </w:tr>
    </w:tbl>
    <w:p w14:paraId="48D5A6BC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8EC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6E122B" w14:paraId="48D5A6C0" w14:textId="77777777" w:rsidTr="003C4F5E">
        <w:tblPrEx>
          <w:tblCellMar>
            <w:top w:w="0" w:type="dxa"/>
            <w:bottom w:w="0" w:type="dxa"/>
          </w:tblCellMar>
        </w:tblPrEx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48D5A6BD" w14:textId="77777777" w:rsidR="006E122B" w:rsidRDefault="006E122B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D5A6BE" w14:textId="77777777" w:rsidR="006E122B" w:rsidRPr="003C4F5E" w:rsidRDefault="004504D4">
            <w:pPr>
              <w:spacing w:after="60"/>
              <w:rPr>
                <w:color w:val="C8962A"/>
              </w:rPr>
            </w:pPr>
            <w:r w:rsidRPr="003C4F5E">
              <w:rPr>
                <w:b/>
                <w:bCs/>
                <w:color w:val="C8962A"/>
                <w:sz w:val="20"/>
                <w:szCs w:val="20"/>
              </w:rPr>
              <w:t>Tips for This Pitch</w:t>
            </w:r>
          </w:p>
          <w:p w14:paraId="48D5A6BF" w14:textId="77777777" w:rsidR="006E122B" w:rsidRDefault="004504D4">
            <w:r>
              <w:rPr>
                <w:color w:val="1A2E44"/>
                <w:sz w:val="19"/>
                <w:szCs w:val="19"/>
              </w:rPr>
              <w:t>Lead with the district pain point, not your own goals. ESDs respond best when they see themselves as the hero bringing a solution to their districts — not as a distribution channel for yours. The “zero lift” framing is intentional and important.</w:t>
            </w:r>
          </w:p>
        </w:tc>
      </w:tr>
    </w:tbl>
    <w:p w14:paraId="48D5A6C1" w14:textId="75FAFA9F" w:rsidR="00BF1DBD" w:rsidRDefault="00BF1DBD">
      <w:pPr>
        <w:spacing w:after="280"/>
      </w:pPr>
    </w:p>
    <w:p w14:paraId="5D4332A6" w14:textId="378FD69B" w:rsidR="006E122B" w:rsidRDefault="00BF1DBD" w:rsidP="00BF1DBD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22B" w14:paraId="48D5A6C4" w14:textId="77777777" w:rsidTr="001D7169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48D5A6C2" w14:textId="77777777" w:rsidR="006E122B" w:rsidRDefault="004504D4">
            <w:pPr>
              <w:spacing w:after="60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Pitch 2</w:t>
            </w:r>
          </w:p>
          <w:p w14:paraId="48D5A6C3" w14:textId="77777777" w:rsidR="006E122B" w:rsidRDefault="004504D4">
            <w:r w:rsidRPr="001D7169">
              <w:rPr>
                <w:color w:val="FFFF00"/>
                <w:sz w:val="24"/>
                <w:szCs w:val="24"/>
              </w:rPr>
              <w:t xml:space="preserve">ESD </w:t>
            </w:r>
            <w:proofErr w:type="gramStart"/>
            <w:r w:rsidRPr="001D7169">
              <w:rPr>
                <w:color w:val="FFFF00"/>
                <w:sz w:val="24"/>
                <w:szCs w:val="24"/>
              </w:rPr>
              <w:t>Reps  →</w:t>
            </w:r>
            <w:proofErr w:type="gramEnd"/>
            <w:r w:rsidRPr="001D7169">
              <w:rPr>
                <w:color w:val="FFFF00"/>
                <w:sz w:val="24"/>
                <w:szCs w:val="24"/>
              </w:rPr>
              <w:t xml:space="preserve">  District Superintendents / Directors</w:t>
            </w:r>
          </w:p>
        </w:tc>
      </w:tr>
    </w:tbl>
    <w:p w14:paraId="48D5A6C5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E122B" w14:paraId="48D5A6C8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5A6C6" w14:textId="77777777" w:rsidR="006E122B" w:rsidRDefault="004504D4">
            <w:pPr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C7" w14:textId="77777777" w:rsidR="006E122B" w:rsidRDefault="004504D4">
            <w:r>
              <w:rPr>
                <w:color w:val="1A2E44"/>
                <w:sz w:val="20"/>
                <w:szCs w:val="20"/>
              </w:rPr>
              <w:t>Get a Superintendent or Director to agree to a demo.</w:t>
            </w:r>
          </w:p>
        </w:tc>
      </w:tr>
    </w:tbl>
    <w:p w14:paraId="48D5A6C9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E122B" w14:paraId="48D5A6CC" w14:textId="77777777" w:rsidTr="001D7169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CA" w14:textId="77777777" w:rsidR="006E122B" w:rsidRPr="001D7169" w:rsidRDefault="004504D4">
            <w:pPr>
              <w:jc w:val="center"/>
              <w:rPr>
                <w:color w:val="36B0E4"/>
              </w:rPr>
            </w:pPr>
            <w:r w:rsidRPr="001D7169">
              <w:rPr>
                <w:b/>
                <w:bCs/>
                <w:color w:val="36B0E4"/>
                <w:sz w:val="18"/>
                <w:szCs w:val="18"/>
              </w:rPr>
              <w:t>THE HOOK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CB" w14:textId="7284E67C" w:rsidR="006E122B" w:rsidRDefault="001D7169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>I was looking at your strategic plan, and I know tracking post-secondary success is a priority. Usually, that means waiting months for a consultant report or staring at a messy spreadsheet.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  <w:tr w:rsidR="006E122B" w14:paraId="48D5A6CF" w14:textId="77777777" w:rsidTr="001D7169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CD" w14:textId="77777777" w:rsidR="006E122B" w:rsidRPr="001D7169" w:rsidRDefault="004504D4">
            <w:pPr>
              <w:jc w:val="center"/>
              <w:rPr>
                <w:color w:val="36B0E4"/>
              </w:rPr>
            </w:pPr>
            <w:r w:rsidRPr="001D7169">
              <w:rPr>
                <w:b/>
                <w:bCs/>
                <w:color w:val="36B0E4"/>
                <w:sz w:val="18"/>
                <w:szCs w:val="18"/>
              </w:rPr>
              <w:t>THE SOLUTION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CE" w14:textId="2B8B8105" w:rsidR="006E122B" w:rsidRDefault="001D7169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>We are partnering with WSIPC on a tool called FOYOST. It connects your local student data with national college records. Instead of guessing, you can instantly see — by race, gender, or program — which of your students are persisting in college and where they are dropping off.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  <w:tr w:rsidR="006E122B" w14:paraId="48D5A6D2" w14:textId="77777777" w:rsidTr="001D7169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D0" w14:textId="77777777" w:rsidR="006E122B" w:rsidRPr="001D7169" w:rsidRDefault="004504D4">
            <w:pPr>
              <w:jc w:val="center"/>
              <w:rPr>
                <w:color w:val="36B0E4"/>
              </w:rPr>
            </w:pPr>
            <w:r w:rsidRPr="001D7169">
              <w:rPr>
                <w:b/>
                <w:bCs/>
                <w:color w:val="36B0E4"/>
                <w:sz w:val="18"/>
                <w:szCs w:val="18"/>
              </w:rPr>
              <w:t>THE ASK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D1" w14:textId="1D5F332A" w:rsidR="006E122B" w:rsidRDefault="001D7169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>It’s already funded for Year 1 onboarding. I can send you a 90-second video that explains it better than I can. If you like it, we can get your data team set up in about 20 minutes. Sound fair?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</w:tbl>
    <w:p w14:paraId="48D5A6D3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6E122B" w14:paraId="48D5A6D7" w14:textId="77777777" w:rsidTr="001D7169">
        <w:tblPrEx>
          <w:tblCellMar>
            <w:top w:w="0" w:type="dxa"/>
            <w:bottom w:w="0" w:type="dxa"/>
          </w:tblCellMar>
        </w:tblPrEx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48D5A6D4" w14:textId="77777777" w:rsidR="006E122B" w:rsidRDefault="006E122B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D5A6D5" w14:textId="77777777" w:rsidR="006E122B" w:rsidRPr="001D7169" w:rsidRDefault="004504D4">
            <w:pPr>
              <w:spacing w:after="60"/>
              <w:rPr>
                <w:color w:val="C8962A"/>
              </w:rPr>
            </w:pPr>
            <w:r w:rsidRPr="001D7169">
              <w:rPr>
                <w:b/>
                <w:bCs/>
                <w:color w:val="C8962A"/>
                <w:sz w:val="20"/>
                <w:szCs w:val="20"/>
              </w:rPr>
              <w:t>Tips for This Pitch</w:t>
            </w:r>
          </w:p>
          <w:p w14:paraId="48D5A6D6" w14:textId="77777777" w:rsidR="006E122B" w:rsidRDefault="004504D4">
            <w:r>
              <w:rPr>
                <w:color w:val="1A2E44"/>
                <w:sz w:val="19"/>
                <w:szCs w:val="19"/>
              </w:rPr>
              <w:t>Reference something specific from the district’s strategic plan if you can — even just a goal area like “equity” or “post-secondary readiness.” The “20 minutes to set up” and “90-second video” details reduce perceived risk significantly. Keep the ask small.</w:t>
            </w:r>
          </w:p>
        </w:tc>
      </w:tr>
    </w:tbl>
    <w:p w14:paraId="48D5A6D8" w14:textId="69CAF45F" w:rsidR="00BF1DBD" w:rsidRDefault="00BF1DBD">
      <w:pPr>
        <w:spacing w:after="280"/>
      </w:pPr>
    </w:p>
    <w:p w14:paraId="4A3B8E32" w14:textId="30CA86F4" w:rsidR="006E122B" w:rsidRDefault="00BF1DBD" w:rsidP="00BF1DBD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B0E4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22B" w14:paraId="48D5A6DB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48D5A6D9" w14:textId="77777777" w:rsidR="006E122B" w:rsidRDefault="004504D4">
            <w:pPr>
              <w:spacing w:after="60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Pitch 3</w:t>
            </w:r>
          </w:p>
          <w:p w14:paraId="48D5A6DA" w14:textId="77777777" w:rsidR="006E122B" w:rsidRDefault="004504D4">
            <w:r w:rsidRPr="00A95592">
              <w:rPr>
                <w:color w:val="FFFF00"/>
                <w:sz w:val="24"/>
                <w:szCs w:val="24"/>
              </w:rPr>
              <w:t xml:space="preserve">District </w:t>
            </w:r>
            <w:proofErr w:type="gramStart"/>
            <w:r w:rsidRPr="00A95592">
              <w:rPr>
                <w:color w:val="FFFF00"/>
                <w:sz w:val="24"/>
                <w:szCs w:val="24"/>
              </w:rPr>
              <w:t>Admin  →</w:t>
            </w:r>
            <w:proofErr w:type="gramEnd"/>
            <w:r w:rsidRPr="00A95592">
              <w:rPr>
                <w:color w:val="FFFF00"/>
                <w:sz w:val="24"/>
                <w:szCs w:val="24"/>
              </w:rPr>
              <w:t xml:space="preserve">  Head Counselors</w:t>
            </w:r>
          </w:p>
        </w:tc>
      </w:tr>
    </w:tbl>
    <w:p w14:paraId="48D5A6DC" w14:textId="77777777" w:rsidR="006E122B" w:rsidRDefault="006E122B" w:rsidP="00A9559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E122B" w14:paraId="48D5A6DF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5A6DD" w14:textId="77777777" w:rsidR="006E122B" w:rsidRDefault="004504D4">
            <w:pPr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DE" w14:textId="77777777" w:rsidR="006E122B" w:rsidRDefault="004504D4">
            <w:r>
              <w:rPr>
                <w:color w:val="1A2E44"/>
                <w:sz w:val="20"/>
                <w:szCs w:val="20"/>
              </w:rPr>
              <w:t>Prevent initiative fatigue — show counselors this replaces manual work rather than adding to it.</w:t>
            </w:r>
          </w:p>
        </w:tc>
      </w:tr>
    </w:tbl>
    <w:p w14:paraId="48D5A6E0" w14:textId="77777777" w:rsidR="006E122B" w:rsidRDefault="006E122B" w:rsidP="00A95592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E122B" w14:paraId="48D5A6E3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E1" w14:textId="77777777" w:rsidR="006E122B" w:rsidRPr="00A95592" w:rsidRDefault="004504D4">
            <w:pPr>
              <w:jc w:val="center"/>
              <w:rPr>
                <w:color w:val="36B0E4"/>
              </w:rPr>
            </w:pPr>
            <w:r w:rsidRPr="00A95592">
              <w:rPr>
                <w:b/>
                <w:bCs/>
                <w:color w:val="36B0E4"/>
                <w:sz w:val="18"/>
                <w:szCs w:val="18"/>
              </w:rPr>
              <w:t>THE HOOK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E2" w14:textId="329ADC22" w:rsidR="006E122B" w:rsidRDefault="00A95592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 xml:space="preserve">I know we ask you to log into a lot of systems, and I don’t want to add ‘one more thing’ unless it </w:t>
            </w:r>
            <w:proofErr w:type="gramStart"/>
            <w:r w:rsidR="004504D4">
              <w:rPr>
                <w:color w:val="1A2E44"/>
                <w:sz w:val="21"/>
                <w:szCs w:val="21"/>
              </w:rPr>
              <w:t>actually saves</w:t>
            </w:r>
            <w:proofErr w:type="gramEnd"/>
            <w:r w:rsidR="004504D4">
              <w:rPr>
                <w:color w:val="1A2E44"/>
                <w:sz w:val="21"/>
                <w:szCs w:val="21"/>
              </w:rPr>
              <w:t xml:space="preserve"> you time. Right now, how long does it take you to figure out which of last year’s seniors </w:t>
            </w:r>
            <w:proofErr w:type="gramStart"/>
            <w:r w:rsidR="004504D4">
              <w:rPr>
                <w:color w:val="1A2E44"/>
                <w:sz w:val="21"/>
                <w:szCs w:val="21"/>
              </w:rPr>
              <w:t>actually showed</w:t>
            </w:r>
            <w:proofErr w:type="gramEnd"/>
            <w:r w:rsidR="004504D4">
              <w:rPr>
                <w:color w:val="1A2E44"/>
                <w:sz w:val="21"/>
                <w:szCs w:val="21"/>
              </w:rPr>
              <w:t xml:space="preserve"> up to college?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  <w:tr w:rsidR="006E122B" w14:paraId="48D5A6E6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E4" w14:textId="77777777" w:rsidR="006E122B" w:rsidRPr="00A95592" w:rsidRDefault="004504D4">
            <w:pPr>
              <w:jc w:val="center"/>
              <w:rPr>
                <w:color w:val="36B0E4"/>
              </w:rPr>
            </w:pPr>
            <w:r w:rsidRPr="00A95592">
              <w:rPr>
                <w:b/>
                <w:bCs/>
                <w:color w:val="36B0E4"/>
                <w:sz w:val="18"/>
                <w:szCs w:val="18"/>
              </w:rPr>
              <w:t>THE SOLUTION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E5" w14:textId="3A861354" w:rsidR="006E122B" w:rsidRDefault="00A95592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 xml:space="preserve">We’re launching FOYOST to replace that manual tracking. It gives you a </w:t>
            </w:r>
            <w:r>
              <w:rPr>
                <w:color w:val="1A2E44"/>
                <w:sz w:val="21"/>
                <w:szCs w:val="21"/>
              </w:rPr>
              <w:t>‘</w:t>
            </w:r>
            <w:r w:rsidR="004504D4">
              <w:rPr>
                <w:color w:val="1A2E44"/>
                <w:sz w:val="21"/>
                <w:szCs w:val="21"/>
              </w:rPr>
              <w:t>Summer Melt</w:t>
            </w:r>
            <w:r>
              <w:rPr>
                <w:color w:val="1A2E44"/>
                <w:sz w:val="21"/>
                <w:szCs w:val="21"/>
              </w:rPr>
              <w:t>’</w:t>
            </w:r>
            <w:r w:rsidR="004504D4">
              <w:rPr>
                <w:color w:val="1A2E44"/>
                <w:sz w:val="21"/>
                <w:szCs w:val="21"/>
              </w:rPr>
              <w:t xml:space="preserve"> list automatically. You can log in on a Monday, see exactly which students stopped out or didn’t enroll, and just focus your energy on calling them — rather than hunting for their data.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  <w:tr w:rsidR="006E122B" w14:paraId="48D5A6E9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E7" w14:textId="77777777" w:rsidR="006E122B" w:rsidRPr="00A95592" w:rsidRDefault="004504D4">
            <w:pPr>
              <w:jc w:val="center"/>
              <w:rPr>
                <w:color w:val="36B0E4"/>
              </w:rPr>
            </w:pPr>
            <w:r w:rsidRPr="00A95592">
              <w:rPr>
                <w:b/>
                <w:bCs/>
                <w:color w:val="36B0E4"/>
                <w:sz w:val="18"/>
                <w:szCs w:val="18"/>
              </w:rPr>
              <w:t>THE ASK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E8" w14:textId="614269C8" w:rsidR="006E122B" w:rsidRDefault="00A95592">
            <w:r>
              <w:rPr>
                <w:color w:val="1A2E44"/>
                <w:sz w:val="21"/>
                <w:szCs w:val="21"/>
              </w:rPr>
              <w:t>“</w:t>
            </w:r>
            <w:r w:rsidR="004504D4">
              <w:rPr>
                <w:color w:val="1A2E44"/>
                <w:sz w:val="21"/>
                <w:szCs w:val="21"/>
              </w:rPr>
              <w:t xml:space="preserve">I want you to try the </w:t>
            </w:r>
            <w:r>
              <w:rPr>
                <w:color w:val="1A2E44"/>
                <w:sz w:val="21"/>
                <w:szCs w:val="21"/>
              </w:rPr>
              <w:t>‘</w:t>
            </w:r>
            <w:r w:rsidR="004504D4">
              <w:rPr>
                <w:color w:val="1A2E44"/>
                <w:sz w:val="21"/>
                <w:szCs w:val="21"/>
              </w:rPr>
              <w:t>Student Journey</w:t>
            </w:r>
            <w:r>
              <w:rPr>
                <w:color w:val="1A2E44"/>
                <w:sz w:val="21"/>
                <w:szCs w:val="21"/>
              </w:rPr>
              <w:t>’</w:t>
            </w:r>
            <w:r w:rsidR="004504D4">
              <w:rPr>
                <w:color w:val="1A2E44"/>
                <w:sz w:val="21"/>
                <w:szCs w:val="21"/>
              </w:rPr>
              <w:t xml:space="preserve"> dashboard for one week. If it doesn’t save you hours of spreadsheet scrubbing, we don’t have to use it. But I think it’s going to be a game-changer for your advising.</w:t>
            </w:r>
            <w:r>
              <w:rPr>
                <w:color w:val="1A2E44"/>
                <w:sz w:val="21"/>
                <w:szCs w:val="21"/>
              </w:rPr>
              <w:t>”</w:t>
            </w:r>
          </w:p>
        </w:tc>
      </w:tr>
    </w:tbl>
    <w:p w14:paraId="48D5A6EA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6E122B" w14:paraId="48D5A6EE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48D5A6EB" w14:textId="77777777" w:rsidR="006E122B" w:rsidRDefault="006E122B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D5A6EC" w14:textId="77777777" w:rsidR="006E122B" w:rsidRPr="00A95592" w:rsidRDefault="004504D4">
            <w:pPr>
              <w:spacing w:after="60"/>
              <w:rPr>
                <w:color w:val="C8962A"/>
              </w:rPr>
            </w:pPr>
            <w:r w:rsidRPr="00A95592">
              <w:rPr>
                <w:b/>
                <w:bCs/>
                <w:color w:val="C8962A"/>
                <w:sz w:val="20"/>
                <w:szCs w:val="20"/>
              </w:rPr>
              <w:t>Tips for This Pitch</w:t>
            </w:r>
          </w:p>
          <w:p w14:paraId="48D5A6ED" w14:textId="77777777" w:rsidR="006E122B" w:rsidRDefault="004504D4">
            <w:r>
              <w:rPr>
                <w:color w:val="1A2E44"/>
                <w:sz w:val="19"/>
                <w:szCs w:val="19"/>
              </w:rPr>
              <w:t>The opening question (“how long does it take you to figure out...”) is key — let them answer it. Their own answer makes the pain point vivid without you having to assert it. The one-week trial close is low-stakes and hard to say no to.</w:t>
            </w:r>
          </w:p>
        </w:tc>
      </w:tr>
    </w:tbl>
    <w:p w14:paraId="48D5A6EF" w14:textId="4008BD28" w:rsidR="00BF1DBD" w:rsidRDefault="00BF1DBD">
      <w:pPr>
        <w:spacing w:after="280"/>
      </w:pPr>
    </w:p>
    <w:p w14:paraId="20B44D5D" w14:textId="2DEC2976" w:rsidR="006E122B" w:rsidRDefault="00BF1DBD" w:rsidP="00BF1DBD">
      <w:r>
        <w:br w:type="page"/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B0E4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22B" w14:paraId="48D5A6F2" w14:textId="77777777" w:rsidTr="00A95592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6B0E4"/>
            <w:tcMar>
              <w:top w:w="180" w:type="dxa"/>
              <w:left w:w="280" w:type="dxa"/>
              <w:bottom w:w="180" w:type="dxa"/>
              <w:right w:w="280" w:type="dxa"/>
            </w:tcMar>
          </w:tcPr>
          <w:p w14:paraId="48D5A6F0" w14:textId="77777777" w:rsidR="006E122B" w:rsidRDefault="004504D4">
            <w:pPr>
              <w:spacing w:after="60"/>
            </w:pPr>
            <w:r>
              <w:rPr>
                <w:b/>
                <w:bCs/>
                <w:color w:val="FFFFFF"/>
                <w:sz w:val="30"/>
                <w:szCs w:val="30"/>
              </w:rPr>
              <w:lastRenderedPageBreak/>
              <w:t>Pitch 4</w:t>
            </w:r>
          </w:p>
          <w:p w14:paraId="48D5A6F1" w14:textId="476E0F77" w:rsidR="006E122B" w:rsidRDefault="00A95592">
            <w:r w:rsidRPr="00BF1DBD">
              <w:rPr>
                <w:color w:val="FFFF00"/>
                <w:sz w:val="24"/>
                <w:szCs w:val="24"/>
              </w:rPr>
              <w:t xml:space="preserve">FOYOST </w:t>
            </w:r>
            <w:proofErr w:type="gramStart"/>
            <w:r w:rsidRPr="00BF1DBD">
              <w:rPr>
                <w:color w:val="FFFF00"/>
                <w:sz w:val="24"/>
                <w:szCs w:val="24"/>
              </w:rPr>
              <w:t>Rep</w:t>
            </w:r>
            <w:r w:rsidR="004504D4" w:rsidRPr="00BF1DBD">
              <w:rPr>
                <w:color w:val="FFFF00"/>
                <w:sz w:val="24"/>
                <w:szCs w:val="24"/>
              </w:rPr>
              <w:t xml:space="preserve">  →</w:t>
            </w:r>
            <w:proofErr w:type="gramEnd"/>
            <w:r w:rsidR="004504D4" w:rsidRPr="00BF1DBD">
              <w:rPr>
                <w:color w:val="FFFF00"/>
                <w:sz w:val="24"/>
                <w:szCs w:val="24"/>
              </w:rPr>
              <w:t xml:space="preserve">  CBO Partners</w:t>
            </w:r>
          </w:p>
        </w:tc>
      </w:tr>
    </w:tbl>
    <w:p w14:paraId="48D5A6F3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6E122B" w14:paraId="48D5A6F6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8D5A6F4" w14:textId="77777777" w:rsidR="006E122B" w:rsidRDefault="004504D4">
            <w:pPr>
              <w:jc w:val="center"/>
            </w:pPr>
            <w:r>
              <w:rPr>
                <w:b/>
                <w:bCs/>
                <w:color w:val="666666"/>
                <w:sz w:val="18"/>
                <w:szCs w:val="18"/>
              </w:rPr>
              <w:t>GOAL</w:t>
            </w:r>
          </w:p>
        </w:tc>
        <w:tc>
          <w:tcPr>
            <w:tcW w:w="7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D5A6F5" w14:textId="77777777" w:rsidR="006E122B" w:rsidRDefault="004504D4">
            <w:r>
              <w:rPr>
                <w:color w:val="1A2E44"/>
                <w:sz w:val="20"/>
                <w:szCs w:val="20"/>
              </w:rPr>
              <w:t>Show CBOs how FOYOST validates the impact of their student support programs to funders.</w:t>
            </w:r>
          </w:p>
        </w:tc>
      </w:tr>
    </w:tbl>
    <w:p w14:paraId="48D5A6F7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7760"/>
      </w:tblGrid>
      <w:tr w:rsidR="006E122B" w14:paraId="48D5A6FA" w14:textId="77777777" w:rsidTr="00BF1DBD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F8" w14:textId="77777777" w:rsidR="006E122B" w:rsidRPr="00BF1DBD" w:rsidRDefault="004504D4">
            <w:pPr>
              <w:jc w:val="center"/>
              <w:rPr>
                <w:color w:val="36B0E4"/>
              </w:rPr>
            </w:pPr>
            <w:r w:rsidRPr="00BF1DBD">
              <w:rPr>
                <w:b/>
                <w:bCs/>
                <w:color w:val="36B0E4"/>
                <w:sz w:val="18"/>
                <w:szCs w:val="18"/>
              </w:rPr>
              <w:t>THE HOOK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F9" w14:textId="77777777" w:rsidR="006E122B" w:rsidRDefault="004504D4">
            <w:r>
              <w:rPr>
                <w:b/>
                <w:bCs/>
                <w:color w:val="C8962A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>The hardest part of running a student support program is proving it works. You pour time into these students, but once they graduate high school, they disappear into a ‘black box</w:t>
            </w:r>
            <w:proofErr w:type="gramStart"/>
            <w:r>
              <w:rPr>
                <w:color w:val="1A2E44"/>
                <w:sz w:val="21"/>
                <w:szCs w:val="21"/>
              </w:rPr>
              <w:t>’</w:t>
            </w:r>
            <w:proofErr w:type="gramEnd"/>
            <w:r>
              <w:rPr>
                <w:color w:val="1A2E44"/>
                <w:sz w:val="21"/>
                <w:szCs w:val="21"/>
              </w:rPr>
              <w:t xml:space="preserve"> and you lose the data you need for your grant reporting.</w:t>
            </w:r>
            <w:r>
              <w:rPr>
                <w:b/>
                <w:bCs/>
                <w:color w:val="C8962A"/>
                <w:sz w:val="28"/>
                <w:szCs w:val="28"/>
              </w:rPr>
              <w:t>”</w:t>
            </w:r>
          </w:p>
        </w:tc>
      </w:tr>
      <w:tr w:rsidR="006E122B" w14:paraId="48D5A6FD" w14:textId="77777777" w:rsidTr="00BF1DBD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FB" w14:textId="77777777" w:rsidR="006E122B" w:rsidRPr="00BF1DBD" w:rsidRDefault="004504D4">
            <w:pPr>
              <w:jc w:val="center"/>
              <w:rPr>
                <w:color w:val="36B0E4"/>
              </w:rPr>
            </w:pPr>
            <w:r w:rsidRPr="00BF1DBD">
              <w:rPr>
                <w:b/>
                <w:bCs/>
                <w:color w:val="36B0E4"/>
                <w:sz w:val="18"/>
                <w:szCs w:val="18"/>
              </w:rPr>
              <w:t>THE SOLUTION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FC" w14:textId="77777777" w:rsidR="006E122B" w:rsidRDefault="004504D4">
            <w:r>
              <w:rPr>
                <w:b/>
                <w:bCs/>
                <w:color w:val="C8962A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>FOYOST fixes that black box. We can set up a specific ‘Partner’ view where you upload your student roster. You get the same longitudinal tracking the districts get — enrollment, persistence, and completion — specifically for your cohort.</w:t>
            </w:r>
            <w:r>
              <w:rPr>
                <w:b/>
                <w:bCs/>
                <w:color w:val="C8962A"/>
                <w:sz w:val="28"/>
                <w:szCs w:val="28"/>
              </w:rPr>
              <w:t>”</w:t>
            </w:r>
          </w:p>
        </w:tc>
      </w:tr>
      <w:tr w:rsidR="006E122B" w14:paraId="48D5A700" w14:textId="77777777" w:rsidTr="00BF1DBD">
        <w:tblPrEx>
          <w:tblCellMar>
            <w:top w:w="0" w:type="dxa"/>
            <w:bottom w:w="0" w:type="dxa"/>
          </w:tblCellMar>
        </w:tblPrEx>
        <w:tc>
          <w:tcPr>
            <w:tcW w:w="160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shd w:val="clear" w:color="auto" w:fill="DAE9F7" w:themeFill="text2" w:themeFillTint="1A"/>
            <w:tcMar>
              <w:top w:w="140" w:type="dxa"/>
              <w:left w:w="160" w:type="dxa"/>
              <w:bottom w:w="140" w:type="dxa"/>
              <w:right w:w="160" w:type="dxa"/>
            </w:tcMar>
            <w:vAlign w:val="center"/>
          </w:tcPr>
          <w:p w14:paraId="48D5A6FE" w14:textId="77777777" w:rsidR="006E122B" w:rsidRPr="00BF1DBD" w:rsidRDefault="004504D4">
            <w:pPr>
              <w:jc w:val="center"/>
              <w:rPr>
                <w:color w:val="36B0E4"/>
              </w:rPr>
            </w:pPr>
            <w:r w:rsidRPr="00BF1DBD">
              <w:rPr>
                <w:b/>
                <w:bCs/>
                <w:color w:val="36B0E4"/>
                <w:sz w:val="18"/>
                <w:szCs w:val="18"/>
              </w:rPr>
              <w:t>THE ASK</w:t>
            </w:r>
          </w:p>
        </w:tc>
        <w:tc>
          <w:tcPr>
            <w:tcW w:w="7760" w:type="dxa"/>
            <w:tcBorders>
              <w:top w:val="single" w:sz="1" w:space="0" w:color="DDDDDD"/>
              <w:left w:val="single" w:sz="1" w:space="0" w:color="DDDDDD"/>
              <w:bottom w:val="single" w:sz="1" w:space="0" w:color="DDDDDD"/>
              <w:right w:val="single" w:sz="1" w:space="0" w:color="DDDDDD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8D5A6FF" w14:textId="77777777" w:rsidR="006E122B" w:rsidRDefault="004504D4">
            <w:r>
              <w:rPr>
                <w:b/>
                <w:bCs/>
                <w:color w:val="C8962A"/>
                <w:sz w:val="28"/>
                <w:szCs w:val="28"/>
              </w:rPr>
              <w:t>“</w:t>
            </w:r>
            <w:r>
              <w:rPr>
                <w:color w:val="1A2E44"/>
                <w:sz w:val="21"/>
                <w:szCs w:val="21"/>
              </w:rPr>
              <w:t>This gives you the hard numbers to prove your ROI to funders. Let’s sit down and look at the ‘Program Impact’ dashboard — I think it will practically write your next grant report for you.</w:t>
            </w:r>
            <w:r>
              <w:rPr>
                <w:b/>
                <w:bCs/>
                <w:color w:val="C8962A"/>
                <w:sz w:val="28"/>
                <w:szCs w:val="28"/>
              </w:rPr>
              <w:t>”</w:t>
            </w:r>
          </w:p>
        </w:tc>
      </w:tr>
    </w:tbl>
    <w:p w14:paraId="48D5A701" w14:textId="77777777" w:rsidR="006E122B" w:rsidRDefault="006E122B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"/>
        <w:gridCol w:w="9160"/>
      </w:tblGrid>
      <w:tr w:rsidR="006E122B" w14:paraId="48D5A705" w14:textId="77777777">
        <w:tblPrEx>
          <w:tblCellMar>
            <w:top w:w="0" w:type="dxa"/>
            <w:bottom w:w="0" w:type="dxa"/>
          </w:tblCellMar>
        </w:tblPrEx>
        <w:tc>
          <w:tcPr>
            <w:tcW w:w="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8962A"/>
          </w:tcPr>
          <w:p w14:paraId="48D5A702" w14:textId="77777777" w:rsidR="006E122B" w:rsidRDefault="006E122B"/>
        </w:tc>
        <w:tc>
          <w:tcPr>
            <w:tcW w:w="9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8EC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48D5A703" w14:textId="77777777" w:rsidR="006E122B" w:rsidRDefault="004504D4">
            <w:pPr>
              <w:spacing w:after="60"/>
            </w:pPr>
            <w:r>
              <w:rPr>
                <w:b/>
                <w:bCs/>
                <w:color w:val="8A6400"/>
                <w:sz w:val="20"/>
                <w:szCs w:val="20"/>
              </w:rPr>
              <w:t>Tips for This Pitch</w:t>
            </w:r>
          </w:p>
          <w:p w14:paraId="48D5A704" w14:textId="77777777" w:rsidR="006E122B" w:rsidRDefault="004504D4">
            <w:r>
              <w:rPr>
                <w:color w:val="1A2E44"/>
                <w:sz w:val="19"/>
                <w:szCs w:val="19"/>
              </w:rPr>
              <w:t>CBOs are motivated by funder accountability more than operational efficiency. Lead with the grant reporting angle and stay there. The “program impact” dashboard is the hook — make sure you’re ready to demo it specifically for their cohort type.</w:t>
            </w:r>
          </w:p>
        </w:tc>
      </w:tr>
    </w:tbl>
    <w:p w14:paraId="48D5A706" w14:textId="77777777" w:rsidR="006E122B" w:rsidRDefault="006E122B">
      <w:pPr>
        <w:spacing w:after="280"/>
      </w:pPr>
    </w:p>
    <w:p w14:paraId="48D5A707" w14:textId="77777777" w:rsidR="006E122B" w:rsidRDefault="006E122B">
      <w:pPr>
        <w:pBdr>
          <w:bottom w:val="single" w:sz="6" w:space="1" w:color="1A2E44"/>
        </w:pBdr>
        <w:spacing w:before="40" w:after="160"/>
      </w:pPr>
    </w:p>
    <w:p w14:paraId="48D5A708" w14:textId="77777777" w:rsidR="006E122B" w:rsidRDefault="004504D4">
      <w:pPr>
        <w:pStyle w:val="Heading2"/>
      </w:pPr>
      <w:r>
        <w:rPr>
          <w:color w:val="1A2E44"/>
        </w:rPr>
        <w:t>A Few Reminders for Any Conversation</w:t>
      </w:r>
    </w:p>
    <w:p w14:paraId="48D5A709" w14:textId="77777777" w:rsidR="006E122B" w:rsidRDefault="004504D4" w:rsidP="00BF1DBD">
      <w:pPr>
        <w:pStyle w:val="ListParagraph"/>
        <w:numPr>
          <w:ilvl w:val="0"/>
          <w:numId w:val="4"/>
        </w:numPr>
        <w:spacing w:before="40" w:after="40"/>
      </w:pPr>
      <w:r>
        <w:rPr>
          <w:color w:val="1A2E44"/>
          <w:sz w:val="21"/>
          <w:szCs w:val="21"/>
        </w:rPr>
        <w:t>Lead with their pain, not your product. The Hook should feel like you’ve been reading their mind.</w:t>
      </w:r>
    </w:p>
    <w:p w14:paraId="48D5A70A" w14:textId="77777777" w:rsidR="006E122B" w:rsidRDefault="004504D4" w:rsidP="00BF1DBD">
      <w:pPr>
        <w:pStyle w:val="ListParagraph"/>
        <w:numPr>
          <w:ilvl w:val="0"/>
          <w:numId w:val="4"/>
        </w:numPr>
        <w:spacing w:before="40" w:after="40"/>
      </w:pPr>
      <w:r>
        <w:rPr>
          <w:color w:val="1A2E44"/>
          <w:sz w:val="21"/>
          <w:szCs w:val="21"/>
        </w:rPr>
        <w:t>Keep the ask small. A demo, a video, a one-week trial — not a commitment.</w:t>
      </w:r>
    </w:p>
    <w:p w14:paraId="48D5A70B" w14:textId="77777777" w:rsidR="006E122B" w:rsidRDefault="004504D4" w:rsidP="00BF1DBD">
      <w:pPr>
        <w:pStyle w:val="ListParagraph"/>
        <w:numPr>
          <w:ilvl w:val="0"/>
          <w:numId w:val="4"/>
        </w:numPr>
        <w:spacing w:before="40" w:after="40"/>
      </w:pPr>
      <w:r>
        <w:rPr>
          <w:color w:val="1A2E44"/>
          <w:sz w:val="21"/>
          <w:szCs w:val="21"/>
        </w:rPr>
        <w:t>Year 1 is fully funded. Say it early and often — it removes the most common objection before it’s raised.</w:t>
      </w:r>
    </w:p>
    <w:p w14:paraId="48D5A70C" w14:textId="77777777" w:rsidR="006E122B" w:rsidRDefault="004504D4" w:rsidP="00BF1DBD">
      <w:pPr>
        <w:pStyle w:val="ListParagraph"/>
        <w:numPr>
          <w:ilvl w:val="0"/>
          <w:numId w:val="4"/>
        </w:numPr>
        <w:spacing w:before="40" w:after="40"/>
      </w:pPr>
      <w:r>
        <w:rPr>
          <w:color w:val="1A2E44"/>
          <w:sz w:val="21"/>
          <w:szCs w:val="21"/>
        </w:rPr>
        <w:t>Follow up the same day with the matching Warm Intro email template from the toolkit.</w:t>
      </w:r>
    </w:p>
    <w:p w14:paraId="48D5A70D" w14:textId="77777777" w:rsidR="006E122B" w:rsidRDefault="006E122B">
      <w:pPr>
        <w:spacing w:after="200"/>
      </w:pPr>
    </w:p>
    <w:p w14:paraId="48D5A70E" w14:textId="77777777" w:rsidR="006E122B" w:rsidRDefault="006E122B">
      <w:pPr>
        <w:pBdr>
          <w:bottom w:val="single" w:sz="6" w:space="1" w:color="E0F4F7"/>
        </w:pBdr>
        <w:spacing w:before="40" w:after="160"/>
      </w:pPr>
    </w:p>
    <w:p w14:paraId="48D5A70F" w14:textId="77777777" w:rsidR="006E122B" w:rsidRDefault="004504D4">
      <w:pPr>
        <w:spacing w:before="40"/>
        <w:jc w:val="center"/>
      </w:pPr>
      <w:r>
        <w:rPr>
          <w:b/>
          <w:bCs/>
          <w:color w:val="0097A7"/>
          <w:sz w:val="19"/>
          <w:szCs w:val="19"/>
        </w:rPr>
        <w:t xml:space="preserve">Questions? </w:t>
      </w:r>
      <w:r>
        <w:rPr>
          <w:color w:val="666666"/>
          <w:sz w:val="19"/>
          <w:szCs w:val="19"/>
        </w:rPr>
        <w:t xml:space="preserve">Reach us at </w:t>
      </w:r>
      <w:proofErr w:type="gramStart"/>
      <w:r>
        <w:rPr>
          <w:color w:val="666666"/>
          <w:sz w:val="19"/>
          <w:szCs w:val="19"/>
        </w:rPr>
        <w:t>support@foyost.org  |</w:t>
      </w:r>
      <w:proofErr w:type="gramEnd"/>
      <w:r>
        <w:rPr>
          <w:color w:val="666666"/>
          <w:sz w:val="19"/>
          <w:szCs w:val="19"/>
        </w:rPr>
        <w:t xml:space="preserve">  followyourstudent.org</w:t>
      </w:r>
    </w:p>
    <w:sectPr w:rsidR="006E122B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99BDB" w14:textId="77777777" w:rsidR="00FF2FEC" w:rsidRDefault="00FF2FEC" w:rsidP="00FF2FEC">
      <w:r>
        <w:separator/>
      </w:r>
    </w:p>
  </w:endnote>
  <w:endnote w:type="continuationSeparator" w:id="0">
    <w:p w14:paraId="2A30A897" w14:textId="77777777" w:rsidR="00FF2FEC" w:rsidRDefault="00FF2FEC" w:rsidP="00FF2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64318733"/>
      <w:docPartObj>
        <w:docPartGallery w:val="Page Numbers (Bottom of Page)"/>
        <w:docPartUnique/>
      </w:docPartObj>
    </w:sdtPr>
    <w:sdtContent>
      <w:p w14:paraId="1AA5B994" w14:textId="77777777" w:rsidR="001D7169" w:rsidRDefault="001D7169" w:rsidP="001D7169">
        <w:pPr>
          <w:pStyle w:val="Footer"/>
          <w:framePr w:wrap="none" w:vAnchor="text" w:hAnchor="margin" w:xAlign="right" w:y="1"/>
          <w:jc w:val="center"/>
          <w:rPr>
            <w:rStyle w:val="PageNumber"/>
          </w:rPr>
        </w:pP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begin"/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instrText xml:space="preserve"> PAGE </w:instrText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separate"/>
        </w:r>
        <w:r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t>5</w:t>
        </w:r>
        <w:r w:rsidRPr="00A80FAF">
          <w:rPr>
            <w:rStyle w:val="PageNumber"/>
            <w:rFonts w:ascii="Aptos" w:hAnsi="Aptos"/>
            <w:color w:val="747474" w:themeColor="background2" w:themeShade="80"/>
            <w:sz w:val="16"/>
            <w:szCs w:val="16"/>
          </w:rPr>
          <w:fldChar w:fldCharType="end"/>
        </w:r>
      </w:p>
    </w:sdtContent>
  </w:sdt>
  <w:p w14:paraId="579F0AFF" w14:textId="725F2882" w:rsidR="001D7169" w:rsidRPr="001D7169" w:rsidRDefault="001D7169" w:rsidP="001D7169">
    <w:pPr>
      <w:rPr>
        <w:rFonts w:ascii="Aptos" w:hAnsi="Aptos"/>
        <w:sz w:val="16"/>
        <w:szCs w:val="16"/>
      </w:rPr>
    </w:pPr>
    <w:r w:rsidRPr="00A80FAF">
      <w:rPr>
        <w:rFonts w:asciiTheme="minorHAnsi" w:hAnsiTheme="minorHAnsi"/>
        <w:color w:val="747474" w:themeColor="background2" w:themeShade="80"/>
        <w:sz w:val="16"/>
        <w:szCs w:val="16"/>
      </w:rPr>
      <w:t xml:space="preserve">V1. MARCH 2026. </w:t>
    </w:r>
    <w:r>
      <w:rPr>
        <w:rFonts w:asciiTheme="minorHAnsi" w:hAnsiTheme="minorHAnsi"/>
        <w:color w:val="747474" w:themeColor="background2" w:themeShade="80"/>
        <w:sz w:val="16"/>
        <w:szCs w:val="16"/>
      </w:rPr>
      <w:tab/>
    </w:r>
    <w:r>
      <w:rPr>
        <w:rFonts w:asciiTheme="minorHAnsi" w:hAnsiTheme="minorHAnsi"/>
        <w:color w:val="747474" w:themeColor="background2" w:themeShade="80"/>
        <w:sz w:val="16"/>
        <w:szCs w:val="16"/>
      </w:rPr>
      <w:tab/>
    </w:r>
    <w:r>
      <w:rPr>
        <w:rFonts w:asciiTheme="minorHAnsi" w:hAnsiTheme="minorHAnsi"/>
        <w:color w:val="747474" w:themeColor="background2" w:themeShade="80"/>
        <w:sz w:val="16"/>
        <w:szCs w:val="16"/>
      </w:rPr>
      <w:tab/>
    </w:r>
    <w:r w:rsidRPr="00A80FAF">
      <w:rPr>
        <w:rFonts w:ascii="Aptos" w:hAnsi="Aptos"/>
        <w:b/>
        <w:bCs/>
        <w:color w:val="36B0E4"/>
        <w:sz w:val="16"/>
        <w:szCs w:val="16"/>
      </w:rPr>
      <w:t>Questions?</w:t>
    </w:r>
    <w:r w:rsidRPr="00A80FAF">
      <w:rPr>
        <w:rFonts w:ascii="Aptos" w:hAnsi="Aptos"/>
        <w:b/>
        <w:bCs/>
        <w:color w:val="0097A7"/>
        <w:sz w:val="16"/>
        <w:szCs w:val="16"/>
      </w:rPr>
      <w:t xml:space="preserve"> </w:t>
    </w:r>
    <w:r w:rsidRPr="00A80FAF">
      <w:rPr>
        <w:rFonts w:ascii="Aptos" w:hAnsi="Aptos"/>
        <w:color w:val="666666"/>
        <w:sz w:val="16"/>
        <w:szCs w:val="16"/>
      </w:rPr>
      <w:t xml:space="preserve">Reach us at </w:t>
    </w:r>
    <w:proofErr w:type="gramStart"/>
    <w:r w:rsidRPr="00A80FAF">
      <w:rPr>
        <w:rFonts w:ascii="Aptos" w:hAnsi="Aptos"/>
        <w:color w:val="666666"/>
        <w:sz w:val="16"/>
        <w:szCs w:val="16"/>
      </w:rPr>
      <w:t>support@foyost.org  |</w:t>
    </w:r>
    <w:proofErr w:type="gramEnd"/>
    <w:r w:rsidRPr="00A80FAF">
      <w:rPr>
        <w:rFonts w:ascii="Aptos" w:hAnsi="Aptos"/>
        <w:color w:val="666666"/>
        <w:sz w:val="16"/>
        <w:szCs w:val="16"/>
      </w:rPr>
      <w:t xml:space="preserve">  followyourstudent.org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9EC4" w14:textId="77777777" w:rsidR="00FF2FEC" w:rsidRDefault="00FF2FEC" w:rsidP="00FF2FEC">
      <w:r>
        <w:separator/>
      </w:r>
    </w:p>
  </w:footnote>
  <w:footnote w:type="continuationSeparator" w:id="0">
    <w:p w14:paraId="13D1D4F0" w14:textId="77777777" w:rsidR="00FF2FEC" w:rsidRDefault="00FF2FEC" w:rsidP="00FF2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99A3" w14:textId="77777777" w:rsidR="00FF2FEC" w:rsidRDefault="00FF2FEC" w:rsidP="00FF2FEC">
    <w:pPr>
      <w:pStyle w:val="Header"/>
    </w:pPr>
    <w:r>
      <w:rPr>
        <w:noProof/>
      </w:rPr>
      <w:drawing>
        <wp:inline distT="0" distB="0" distL="0" distR="0" wp14:anchorId="1FF37E5D" wp14:editId="5B4383EF">
          <wp:extent cx="1469036" cy="447374"/>
          <wp:effectExtent l="0" t="0" r="4445" b="0"/>
          <wp:docPr id="228976834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976834" name="Picture 1" descr="A black background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4907" cy="497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7DE74" w14:textId="77777777" w:rsidR="00FF2FEC" w:rsidRDefault="00FF2FEC" w:rsidP="00FF2FEC">
    <w:pPr>
      <w:pStyle w:val="Header"/>
    </w:pPr>
  </w:p>
  <w:p w14:paraId="288DD29F" w14:textId="77777777" w:rsidR="00FF2FEC" w:rsidRPr="00CC77FC" w:rsidRDefault="00FF2FEC" w:rsidP="00FF2FEC">
    <w:pPr>
      <w:spacing w:after="80"/>
      <w:rPr>
        <w:rFonts w:ascii="Aptos" w:hAnsi="Aptos"/>
        <w:color w:val="36B0E4"/>
      </w:rPr>
    </w:pPr>
    <w:r w:rsidRPr="00CC77FC">
      <w:rPr>
        <w:rFonts w:ascii="Aptos" w:hAnsi="Aptos"/>
        <w:color w:val="36B0E4"/>
        <w:sz w:val="20"/>
        <w:szCs w:val="20"/>
      </w:rPr>
      <w:t>FOYOST COMMUNICATIONS TOOLKIT</w:t>
    </w:r>
  </w:p>
  <w:p w14:paraId="3BAB0CD6" w14:textId="77777777" w:rsidR="00FF2FEC" w:rsidRPr="00FF2FEC" w:rsidRDefault="00FF2FEC" w:rsidP="00FF2F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10CDB"/>
    <w:multiLevelType w:val="hybridMultilevel"/>
    <w:tmpl w:val="A2843170"/>
    <w:lvl w:ilvl="0" w:tplc="0ECC1736">
      <w:start w:val="1"/>
      <w:numFmt w:val="bullet"/>
      <w:lvlText w:val="●"/>
      <w:lvlJc w:val="left"/>
      <w:pPr>
        <w:ind w:left="720" w:hanging="360"/>
      </w:pPr>
    </w:lvl>
    <w:lvl w:ilvl="1" w:tplc="E9702D80">
      <w:start w:val="1"/>
      <w:numFmt w:val="bullet"/>
      <w:lvlText w:val="○"/>
      <w:lvlJc w:val="left"/>
      <w:pPr>
        <w:ind w:left="1440" w:hanging="360"/>
      </w:pPr>
    </w:lvl>
    <w:lvl w:ilvl="2" w:tplc="E38E38F4">
      <w:start w:val="1"/>
      <w:numFmt w:val="bullet"/>
      <w:lvlText w:val="■"/>
      <w:lvlJc w:val="left"/>
      <w:pPr>
        <w:ind w:left="2160" w:hanging="360"/>
      </w:pPr>
    </w:lvl>
    <w:lvl w:ilvl="3" w:tplc="6700D04C">
      <w:start w:val="1"/>
      <w:numFmt w:val="bullet"/>
      <w:lvlText w:val="●"/>
      <w:lvlJc w:val="left"/>
      <w:pPr>
        <w:ind w:left="2880" w:hanging="360"/>
      </w:pPr>
    </w:lvl>
    <w:lvl w:ilvl="4" w:tplc="8F02AD2A">
      <w:start w:val="1"/>
      <w:numFmt w:val="bullet"/>
      <w:lvlText w:val="○"/>
      <w:lvlJc w:val="left"/>
      <w:pPr>
        <w:ind w:left="3600" w:hanging="360"/>
      </w:pPr>
    </w:lvl>
    <w:lvl w:ilvl="5" w:tplc="C2E66D92">
      <w:start w:val="1"/>
      <w:numFmt w:val="bullet"/>
      <w:lvlText w:val="■"/>
      <w:lvlJc w:val="left"/>
      <w:pPr>
        <w:ind w:left="4320" w:hanging="360"/>
      </w:pPr>
    </w:lvl>
    <w:lvl w:ilvl="6" w:tplc="D63EADC0">
      <w:start w:val="1"/>
      <w:numFmt w:val="bullet"/>
      <w:lvlText w:val="●"/>
      <w:lvlJc w:val="left"/>
      <w:pPr>
        <w:ind w:left="5040" w:hanging="360"/>
      </w:pPr>
    </w:lvl>
    <w:lvl w:ilvl="7" w:tplc="2FAC2D4E">
      <w:start w:val="1"/>
      <w:numFmt w:val="bullet"/>
      <w:lvlText w:val="●"/>
      <w:lvlJc w:val="left"/>
      <w:pPr>
        <w:ind w:left="5760" w:hanging="360"/>
      </w:pPr>
    </w:lvl>
    <w:lvl w:ilvl="8" w:tplc="78E099B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4F095DC4"/>
    <w:multiLevelType w:val="hybridMultilevel"/>
    <w:tmpl w:val="B31607DA"/>
    <w:lvl w:ilvl="0" w:tplc="066E1F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0B53BE8"/>
    <w:multiLevelType w:val="hybridMultilevel"/>
    <w:tmpl w:val="CEF67168"/>
    <w:lvl w:ilvl="0" w:tplc="2D0A371A">
      <w:start w:val="1"/>
      <w:numFmt w:val="bullet"/>
      <w:lvlText w:val="•"/>
      <w:lvlJc w:val="left"/>
      <w:pPr>
        <w:ind w:left="720" w:hanging="360"/>
      </w:pPr>
    </w:lvl>
    <w:lvl w:ilvl="1" w:tplc="3F749614">
      <w:numFmt w:val="decimal"/>
      <w:lvlText w:val=""/>
      <w:lvlJc w:val="left"/>
    </w:lvl>
    <w:lvl w:ilvl="2" w:tplc="E8E2BB54">
      <w:numFmt w:val="decimal"/>
      <w:lvlText w:val=""/>
      <w:lvlJc w:val="left"/>
    </w:lvl>
    <w:lvl w:ilvl="3" w:tplc="143A4050">
      <w:numFmt w:val="decimal"/>
      <w:lvlText w:val=""/>
      <w:lvlJc w:val="left"/>
    </w:lvl>
    <w:lvl w:ilvl="4" w:tplc="91B8E98E">
      <w:numFmt w:val="decimal"/>
      <w:lvlText w:val=""/>
      <w:lvlJc w:val="left"/>
    </w:lvl>
    <w:lvl w:ilvl="5" w:tplc="B4047BA8">
      <w:numFmt w:val="decimal"/>
      <w:lvlText w:val=""/>
      <w:lvlJc w:val="left"/>
    </w:lvl>
    <w:lvl w:ilvl="6" w:tplc="60DC64CA">
      <w:numFmt w:val="decimal"/>
      <w:lvlText w:val=""/>
      <w:lvlJc w:val="left"/>
    </w:lvl>
    <w:lvl w:ilvl="7" w:tplc="16ECACD2">
      <w:numFmt w:val="decimal"/>
      <w:lvlText w:val=""/>
      <w:lvlJc w:val="left"/>
    </w:lvl>
    <w:lvl w:ilvl="8" w:tplc="943ADC96">
      <w:numFmt w:val="decimal"/>
      <w:lvlText w:val=""/>
      <w:lvlJc w:val="left"/>
    </w:lvl>
  </w:abstractNum>
  <w:abstractNum w:abstractNumId="3" w15:restartNumberingAfterBreak="0">
    <w:nsid w:val="79B01F1F"/>
    <w:multiLevelType w:val="hybridMultilevel"/>
    <w:tmpl w:val="209681C8"/>
    <w:lvl w:ilvl="0" w:tplc="066E1F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00652005">
    <w:abstractNumId w:val="0"/>
    <w:lvlOverride w:ilvl="0">
      <w:startOverride w:val="1"/>
    </w:lvlOverride>
  </w:num>
  <w:num w:numId="2" w16cid:durableId="167140731">
    <w:abstractNumId w:val="2"/>
    <w:lvlOverride w:ilvl="0">
      <w:startOverride w:val="1"/>
    </w:lvlOverride>
  </w:num>
  <w:num w:numId="3" w16cid:durableId="1184707681">
    <w:abstractNumId w:val="2"/>
  </w:num>
  <w:num w:numId="4" w16cid:durableId="551188104">
    <w:abstractNumId w:val="3"/>
  </w:num>
  <w:num w:numId="5" w16cid:durableId="1987855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22B"/>
    <w:rsid w:val="001D7169"/>
    <w:rsid w:val="002F7C2E"/>
    <w:rsid w:val="003C4F5E"/>
    <w:rsid w:val="004504D4"/>
    <w:rsid w:val="006E122B"/>
    <w:rsid w:val="006F794A"/>
    <w:rsid w:val="009B6B94"/>
    <w:rsid w:val="00A95592"/>
    <w:rsid w:val="00BF1DBD"/>
    <w:rsid w:val="00C772EF"/>
    <w:rsid w:val="00FF1BD9"/>
    <w:rsid w:val="00FF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D5A683"/>
  <w15:docId w15:val="{7B2C3A3F-69AB-E34E-85DA-A3F18EE3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A2E44"/>
      <w:sz w:val="36"/>
      <w:szCs w:val="36"/>
    </w:rPr>
  </w:style>
  <w:style w:type="paragraph" w:styleId="Heading2">
    <w:name w:val="heading 2"/>
    <w:uiPriority w:val="9"/>
    <w:unhideWhenUsed/>
    <w:qFormat/>
    <w:pPr>
      <w:spacing w:before="240" w:after="80"/>
      <w:outlineLvl w:val="1"/>
    </w:pPr>
    <w:rPr>
      <w:b/>
      <w:bCs/>
      <w:color w:val="0097A7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2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EC"/>
  </w:style>
  <w:style w:type="paragraph" w:styleId="Footer">
    <w:name w:val="footer"/>
    <w:basedOn w:val="Normal"/>
    <w:link w:val="FooterChar"/>
    <w:uiPriority w:val="99"/>
    <w:unhideWhenUsed/>
    <w:rsid w:val="00FF2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EC"/>
  </w:style>
  <w:style w:type="character" w:styleId="PageNumber">
    <w:name w:val="page number"/>
    <w:basedOn w:val="DefaultParagraphFont"/>
    <w:uiPriority w:val="99"/>
    <w:semiHidden/>
    <w:unhideWhenUsed/>
    <w:rsid w:val="001D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1036</Words>
  <Characters>5434</Characters>
  <Application>Microsoft Office Word</Application>
  <DocSecurity>0</DocSecurity>
  <Lines>201</Lines>
  <Paragraphs>126</Paragraphs>
  <ScaleCrop>false</ScaleCrop>
  <Company/>
  <LinksUpToDate>false</LinksUpToDate>
  <CharactersWithSpaces>6344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Corrie Wilder</cp:lastModifiedBy>
  <cp:revision>11</cp:revision>
  <dcterms:created xsi:type="dcterms:W3CDTF">2026-03-18T20:21:00Z</dcterms:created>
  <dcterms:modified xsi:type="dcterms:W3CDTF">2026-03-18T20:36:00Z</dcterms:modified>
</cp:coreProperties>
</file>